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540F42C0"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B138F0" w:rsidRPr="00B138F0">
        <w:rPr>
          <w:rFonts w:cs="Arial"/>
          <w:b/>
          <w:noProof/>
          <w:sz w:val="24"/>
        </w:rPr>
        <w:t>S2-2402766</w:t>
      </w:r>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2F22E508"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394E7F" w:rsidRPr="00394E7F">
        <w:rPr>
          <w:rFonts w:ascii="Arial" w:hAnsi="Arial" w:cs="Arial"/>
          <w:b/>
        </w:rPr>
        <w:t>KI#2: New solution for P</w:t>
      </w:r>
      <w:r w:rsidR="006D46AF" w:rsidRPr="006D46AF">
        <w:rPr>
          <w:rFonts w:ascii="Arial" w:hAnsi="Arial" w:cs="Arial"/>
          <w:b/>
        </w:rPr>
        <w:t>rovisioning of CAG info to the network that UE has subscription</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E03C49"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19.12</w:t>
      </w:r>
    </w:p>
    <w:p w14:paraId="713A04D7" w14:textId="1B688958"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301976" w:rsidRPr="00301976">
        <w:rPr>
          <w:rFonts w:ascii="Arial" w:hAnsi="Arial" w:cs="Arial"/>
          <w:b/>
        </w:rPr>
        <w:t>FS_5G_Femto / Rel-19</w:t>
      </w:r>
    </w:p>
    <w:p w14:paraId="59D8A9FC" w14:textId="20423A76"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KI#2</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262B0BA7" w14:textId="7B1B460B" w:rsidR="008D748A" w:rsidRDefault="008D748A" w:rsidP="008D748A">
      <w:r>
        <w:t>This solution mainly addresses an aspect that KI#2 states:</w:t>
      </w:r>
      <w:r w:rsidR="00327382" w:rsidRPr="00327382">
        <w:t>"</w:t>
      </w:r>
      <w:r>
        <w:t xml:space="preserve"> </w:t>
      </w:r>
      <w:r w:rsidRPr="00327382">
        <w:rPr>
          <w:i/>
          <w:iCs/>
        </w:rPr>
        <w:t>The provisioning/updating of CAG info to [..] the network that the UE has subscription will be considered.</w:t>
      </w:r>
      <w:r w:rsidR="00327382" w:rsidRPr="00327382">
        <w:t>"</w:t>
      </w:r>
    </w:p>
    <w:p w14:paraId="61640B8C" w14:textId="5A1D5334" w:rsidR="0050442F" w:rsidRPr="003C45CD" w:rsidRDefault="008D748A" w:rsidP="008D748A">
      <w:r>
        <w:t xml:space="preserve">This solution is the same as the one submitted to SA2#160e for Information in S2-2400678, while the title </w:t>
      </w:r>
      <w:r w:rsidR="008447AD">
        <w:t xml:space="preserve">and introductory texts </w:t>
      </w:r>
      <w:r>
        <w:t>ha</w:t>
      </w:r>
      <w:r w:rsidR="008447AD">
        <w:t>ve</w:t>
      </w:r>
      <w:r>
        <w:t xml:space="preserve"> been changed.</w:t>
      </w:r>
    </w:p>
    <w:p w14:paraId="30E59ADC" w14:textId="16CEC9CA" w:rsidR="0073440A" w:rsidRDefault="00CA0C1D" w:rsidP="0073440A">
      <w:pPr>
        <w:pStyle w:val="1"/>
      </w:pPr>
      <w:r>
        <w:t>2</w:t>
      </w:r>
      <w:r w:rsidR="00854A68">
        <w:tab/>
      </w:r>
      <w:r w:rsidR="0073440A">
        <w:t>Proposal</w:t>
      </w:r>
    </w:p>
    <w:p w14:paraId="7F9B6504" w14:textId="638AF215" w:rsidR="0014231F" w:rsidRDefault="000C06A7" w:rsidP="004F10D1">
      <w:pPr>
        <w:jc w:val="both"/>
        <w:rPr>
          <w:rFonts w:eastAsia="游明朝"/>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CE4B16">
        <w:rPr>
          <w:rFonts w:eastAsia="游明朝" w:hint="eastAsia"/>
        </w:rPr>
        <w:t>4</w:t>
      </w:r>
      <w:r w:rsidR="00CE4B16">
        <w:rPr>
          <w:rFonts w:eastAsia="游明朝"/>
        </w:rPr>
        <w:t>5</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1A3DC32E" w14:textId="2F17280F" w:rsidR="00720074" w:rsidRPr="00360C7C" w:rsidRDefault="00720074" w:rsidP="00720074">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360C7C">
        <w:rPr>
          <w:rFonts w:ascii="Arial" w:eastAsia="Arial Unicode MS" w:hAnsi="Arial" w:cs="Arial"/>
          <w:color w:val="FF0000"/>
          <w:sz w:val="32"/>
          <w:szCs w:val="48"/>
        </w:rPr>
        <w:t xml:space="preserve">********** </w:t>
      </w:r>
      <w:r w:rsidR="0075281E" w:rsidRPr="00360C7C">
        <w:rPr>
          <w:rFonts w:ascii="Arial" w:eastAsia="Arial Unicode MS" w:hAnsi="Arial" w:cs="Arial"/>
          <w:color w:val="FF0000"/>
          <w:sz w:val="32"/>
          <w:szCs w:val="48"/>
        </w:rPr>
        <w:t>First</w:t>
      </w:r>
      <w:r w:rsidRPr="00360C7C">
        <w:rPr>
          <w:rFonts w:ascii="Arial" w:eastAsia="Arial Unicode MS" w:hAnsi="Arial" w:cs="Arial"/>
          <w:color w:val="FF0000"/>
          <w:sz w:val="32"/>
          <w:szCs w:val="48"/>
        </w:rPr>
        <w:t xml:space="preserve"> Change</w:t>
      </w:r>
      <w:r w:rsidRPr="00360C7C">
        <w:rPr>
          <w:rFonts w:ascii="Arial" w:eastAsia="Arial Unicode MS" w:hAnsi="Arial" w:cs="Arial"/>
          <w:color w:val="FF0000"/>
          <w:sz w:val="32"/>
          <w:szCs w:val="48"/>
          <w:lang w:eastAsia="zh-CN"/>
        </w:rPr>
        <w:t xml:space="preserve"> </w:t>
      </w:r>
      <w:r w:rsidRPr="00360C7C">
        <w:rPr>
          <w:rFonts w:ascii="Arial" w:eastAsia="Arial Unicode MS" w:hAnsi="Arial" w:cs="Arial"/>
          <w:color w:val="FF0000"/>
          <w:sz w:val="32"/>
          <w:szCs w:val="48"/>
        </w:rPr>
        <w:t>**********</w:t>
      </w:r>
    </w:p>
    <w:p w14:paraId="363D5BB9" w14:textId="77777777" w:rsidR="0005281D" w:rsidRPr="0005281D" w:rsidRDefault="0005281D" w:rsidP="0005281D">
      <w:pPr>
        <w:keepNext/>
        <w:keepLines/>
        <w:spacing w:before="180"/>
        <w:ind w:left="1134" w:hanging="1134"/>
        <w:outlineLvl w:val="1"/>
        <w:rPr>
          <w:rFonts w:ascii="Arial" w:eastAsia="Times New Roman" w:hAnsi="Arial"/>
          <w:color w:val="auto"/>
          <w:sz w:val="32"/>
          <w:lang w:eastAsia="en-GB"/>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760686"/>
      <w:bookmarkStart w:id="27" w:name="_Toc16839382"/>
      <w:bookmarkStart w:id="28" w:name="_Hlk158805823"/>
      <w:r w:rsidRPr="0005281D">
        <w:rPr>
          <w:rFonts w:ascii="Arial" w:eastAsia="Times New Roman" w:hAnsi="Arial"/>
          <w:color w:val="auto"/>
          <w:sz w:val="32"/>
          <w:lang w:eastAsia="en-GB"/>
        </w:rPr>
        <w:t>6.0</w:t>
      </w:r>
      <w:r w:rsidRPr="0005281D">
        <w:rPr>
          <w:rFonts w:ascii="Arial" w:eastAsia="Times New Roman" w:hAnsi="Arial"/>
          <w:color w:val="auto"/>
          <w:sz w:val="32"/>
          <w:lang w:eastAsia="en-GB"/>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6AF49143" w14:textId="77777777" w:rsidR="0005281D" w:rsidRPr="0005281D" w:rsidRDefault="0005281D" w:rsidP="0005281D">
      <w:pPr>
        <w:keepNext/>
        <w:keepLines/>
        <w:spacing w:before="60"/>
        <w:jc w:val="center"/>
        <w:rPr>
          <w:rFonts w:ascii="Arial" w:eastAsia="Times New Roman" w:hAnsi="Arial"/>
          <w:b/>
          <w:color w:val="auto"/>
          <w:lang w:eastAsia="en-GB"/>
        </w:rPr>
      </w:pPr>
      <w:r w:rsidRPr="0005281D">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5281D" w:rsidRPr="0005281D" w14:paraId="48B15828" w14:textId="77777777" w:rsidTr="008565E2">
        <w:trPr>
          <w:cantSplit/>
          <w:jc w:val="center"/>
        </w:trPr>
        <w:tc>
          <w:tcPr>
            <w:tcW w:w="2195" w:type="dxa"/>
          </w:tcPr>
          <w:p w14:paraId="43759500"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p>
        </w:tc>
        <w:tc>
          <w:tcPr>
            <w:tcW w:w="3368" w:type="dxa"/>
            <w:gridSpan w:val="2"/>
          </w:tcPr>
          <w:p w14:paraId="10E1FCF1"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Key Issues</w:t>
            </w:r>
          </w:p>
        </w:tc>
      </w:tr>
      <w:tr w:rsidR="0005281D" w:rsidRPr="0005281D" w14:paraId="7318636D" w14:textId="77777777" w:rsidTr="008565E2">
        <w:trPr>
          <w:cantSplit/>
          <w:jc w:val="center"/>
        </w:trPr>
        <w:tc>
          <w:tcPr>
            <w:tcW w:w="2195" w:type="dxa"/>
          </w:tcPr>
          <w:p w14:paraId="568FCF9F"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Solutions</w:t>
            </w:r>
          </w:p>
        </w:tc>
        <w:tc>
          <w:tcPr>
            <w:tcW w:w="1667" w:type="dxa"/>
          </w:tcPr>
          <w:p w14:paraId="661CDF7A"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#1&gt;</w:t>
            </w:r>
          </w:p>
        </w:tc>
        <w:tc>
          <w:tcPr>
            <w:tcW w:w="1701" w:type="dxa"/>
          </w:tcPr>
          <w:p w14:paraId="7CB6278E"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#2&gt;</w:t>
            </w:r>
          </w:p>
        </w:tc>
      </w:tr>
      <w:tr w:rsidR="0005281D" w:rsidRPr="0005281D" w14:paraId="41CBDF44" w14:textId="77777777" w:rsidTr="008565E2">
        <w:trPr>
          <w:cantSplit/>
          <w:jc w:val="center"/>
        </w:trPr>
        <w:tc>
          <w:tcPr>
            <w:tcW w:w="2195" w:type="dxa"/>
          </w:tcPr>
          <w:p w14:paraId="09AB3BB8"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#1</w:t>
            </w:r>
          </w:p>
        </w:tc>
        <w:tc>
          <w:tcPr>
            <w:tcW w:w="1667" w:type="dxa"/>
          </w:tcPr>
          <w:p w14:paraId="091EC3B6"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7C46C3A1"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05281D" w:rsidRPr="0005281D" w14:paraId="619BCB1C" w14:textId="77777777" w:rsidTr="008565E2">
        <w:trPr>
          <w:cantSplit/>
          <w:jc w:val="center"/>
        </w:trPr>
        <w:tc>
          <w:tcPr>
            <w:tcW w:w="2195" w:type="dxa"/>
          </w:tcPr>
          <w:p w14:paraId="4540FD35"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#2</w:t>
            </w:r>
          </w:p>
        </w:tc>
        <w:tc>
          <w:tcPr>
            <w:tcW w:w="1667" w:type="dxa"/>
          </w:tcPr>
          <w:p w14:paraId="693EBB5C"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26A6A1D9"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512F1F" w:rsidRPr="0005281D" w14:paraId="1B899ABE" w14:textId="77777777" w:rsidTr="008565E2">
        <w:trPr>
          <w:cantSplit/>
          <w:jc w:val="center"/>
          <w:ins w:id="29" w:author="Atsushi Minokuchi" w:date="2024-02-15T09:18:00Z"/>
        </w:trPr>
        <w:tc>
          <w:tcPr>
            <w:tcW w:w="2195" w:type="dxa"/>
          </w:tcPr>
          <w:p w14:paraId="5D71DDF2" w14:textId="606A957F" w:rsidR="00512F1F" w:rsidRPr="00512F1F" w:rsidRDefault="00512F1F" w:rsidP="0005281D">
            <w:pPr>
              <w:keepNext/>
              <w:keepLines/>
              <w:spacing w:after="0"/>
              <w:jc w:val="center"/>
              <w:rPr>
                <w:ins w:id="30" w:author="Atsushi Minokuchi" w:date="2024-02-15T09:18:00Z"/>
                <w:rFonts w:ascii="Arial" w:eastAsia="游明朝" w:hAnsi="Arial"/>
                <w:b/>
                <w:color w:val="auto"/>
                <w:sz w:val="16"/>
                <w:szCs w:val="16"/>
              </w:rPr>
            </w:pPr>
            <w:ins w:id="31" w:author="Atsushi Minokuchi" w:date="2024-02-15T09:19:00Z">
              <w:r>
                <w:rPr>
                  <w:rFonts w:ascii="Arial" w:eastAsia="游明朝" w:hAnsi="Arial"/>
                  <w:b/>
                  <w:color w:val="auto"/>
                  <w:sz w:val="16"/>
                  <w:szCs w:val="16"/>
                </w:rPr>
                <w:t>#X</w:t>
              </w:r>
            </w:ins>
          </w:p>
        </w:tc>
        <w:tc>
          <w:tcPr>
            <w:tcW w:w="1667" w:type="dxa"/>
          </w:tcPr>
          <w:p w14:paraId="745C80B6" w14:textId="77777777" w:rsidR="00512F1F" w:rsidRPr="0005281D" w:rsidRDefault="00512F1F" w:rsidP="0005281D">
            <w:pPr>
              <w:keepNext/>
              <w:keepLines/>
              <w:spacing w:after="0"/>
              <w:jc w:val="center"/>
              <w:rPr>
                <w:ins w:id="32" w:author="Atsushi Minokuchi" w:date="2024-02-15T09:18:00Z"/>
                <w:rFonts w:ascii="Arial" w:eastAsia="Times New Roman" w:hAnsi="Arial"/>
                <w:color w:val="auto"/>
                <w:sz w:val="16"/>
                <w:szCs w:val="16"/>
                <w:lang w:eastAsia="en-GB"/>
              </w:rPr>
            </w:pPr>
          </w:p>
        </w:tc>
        <w:tc>
          <w:tcPr>
            <w:tcW w:w="1701" w:type="dxa"/>
          </w:tcPr>
          <w:p w14:paraId="1BC2CEF0" w14:textId="48E9F39B" w:rsidR="00512F1F" w:rsidRPr="00512F1F" w:rsidRDefault="00512F1F" w:rsidP="0005281D">
            <w:pPr>
              <w:keepNext/>
              <w:keepLines/>
              <w:spacing w:after="0"/>
              <w:jc w:val="center"/>
              <w:rPr>
                <w:ins w:id="33" w:author="Atsushi Minokuchi" w:date="2024-02-15T09:18:00Z"/>
                <w:rFonts w:ascii="Arial" w:eastAsia="游明朝" w:hAnsi="Arial"/>
                <w:color w:val="auto"/>
                <w:sz w:val="16"/>
                <w:szCs w:val="16"/>
              </w:rPr>
            </w:pPr>
            <w:ins w:id="34" w:author="Atsushi Minokuchi" w:date="2024-02-15T09:19:00Z">
              <w:r>
                <w:rPr>
                  <w:rFonts w:ascii="Arial" w:eastAsia="游明朝" w:hAnsi="Arial" w:hint="eastAsia"/>
                  <w:color w:val="auto"/>
                  <w:sz w:val="16"/>
                  <w:szCs w:val="16"/>
                </w:rPr>
                <w:t>X</w:t>
              </w:r>
            </w:ins>
          </w:p>
        </w:tc>
      </w:tr>
    </w:tbl>
    <w:p w14:paraId="30CBE3BD" w14:textId="77777777" w:rsidR="0005281D" w:rsidRPr="0005281D" w:rsidRDefault="0005281D" w:rsidP="0005281D">
      <w:pPr>
        <w:rPr>
          <w:rFonts w:eastAsia="Times New Roman"/>
          <w:color w:val="auto"/>
          <w:lang w:eastAsia="en-GB"/>
        </w:rPr>
      </w:pPr>
    </w:p>
    <w:p w14:paraId="23DCAB2C" w14:textId="2C443913" w:rsidR="008D5CFE" w:rsidRPr="00360C7C"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360C7C">
        <w:rPr>
          <w:rFonts w:ascii="Arial" w:eastAsia="Arial Unicode MS" w:hAnsi="Arial" w:cs="Arial"/>
          <w:color w:val="FF0000"/>
          <w:sz w:val="32"/>
          <w:szCs w:val="48"/>
        </w:rPr>
        <w:t>********** Next Change (All new text)</w:t>
      </w:r>
      <w:r w:rsidRPr="00360C7C">
        <w:rPr>
          <w:rFonts w:ascii="Arial" w:eastAsia="Arial Unicode MS" w:hAnsi="Arial" w:cs="Arial"/>
          <w:color w:val="FF0000"/>
          <w:sz w:val="32"/>
          <w:szCs w:val="48"/>
          <w:lang w:eastAsia="zh-CN"/>
        </w:rPr>
        <w:t xml:space="preserve"> </w:t>
      </w:r>
      <w:r w:rsidRPr="00360C7C">
        <w:rPr>
          <w:rFonts w:ascii="Arial" w:eastAsia="Arial Unicode MS" w:hAnsi="Arial" w:cs="Arial"/>
          <w:color w:val="FF0000"/>
          <w:sz w:val="32"/>
          <w:szCs w:val="48"/>
        </w:rPr>
        <w:t>**********</w:t>
      </w:r>
    </w:p>
    <w:p w14:paraId="71C287E5" w14:textId="32058E40" w:rsidR="00B035C1" w:rsidRPr="00B035C1" w:rsidRDefault="00B035C1" w:rsidP="00CB2AC4">
      <w:pPr>
        <w:pStyle w:val="2"/>
        <w:rPr>
          <w:lang w:eastAsia="en-GB"/>
        </w:rPr>
      </w:pPr>
      <w:bookmarkStart w:id="35" w:name="_Toc500949097"/>
      <w:bookmarkStart w:id="36" w:name="_Toc92875660"/>
      <w:bookmarkStart w:id="37" w:name="_Toc93070684"/>
      <w:bookmarkStart w:id="38" w:name="_Toc157760687"/>
      <w:bookmarkEnd w:id="28"/>
      <w:r w:rsidRPr="00B035C1">
        <w:rPr>
          <w:lang w:eastAsia="en-GB"/>
        </w:rPr>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35"/>
      <w:bookmarkEnd w:id="36"/>
      <w:bookmarkEnd w:id="37"/>
      <w:bookmarkEnd w:id="38"/>
      <w:r w:rsidR="0061143F">
        <w:rPr>
          <w:lang w:eastAsia="en-GB"/>
        </w:rPr>
        <w:t xml:space="preserve"> </w:t>
      </w:r>
      <w:r w:rsidR="00524F9A" w:rsidRPr="00524F9A">
        <w:rPr>
          <w:lang w:eastAsia="en-GB"/>
        </w:rPr>
        <w:t xml:space="preserve">Provisioning of CAG info to the network that UE has </w:t>
      </w:r>
      <w:proofErr w:type="gramStart"/>
      <w:r w:rsidR="00524F9A" w:rsidRPr="00524F9A">
        <w:rPr>
          <w:lang w:eastAsia="en-GB"/>
        </w:rPr>
        <w:t>subscription</w:t>
      </w:r>
      <w:proofErr w:type="gramEnd"/>
    </w:p>
    <w:p w14:paraId="4EE452CD" w14:textId="77777777" w:rsidR="00B035C1" w:rsidRPr="00B035C1" w:rsidRDefault="00B035C1" w:rsidP="00CB2AC4">
      <w:pPr>
        <w:pStyle w:val="3"/>
        <w:rPr>
          <w:lang w:eastAsia="en-GB"/>
        </w:rPr>
      </w:pPr>
      <w:bookmarkStart w:id="39" w:name="_Toc500949099"/>
      <w:bookmarkStart w:id="40" w:name="_Toc92875662"/>
      <w:bookmarkStart w:id="41" w:name="_Toc93070686"/>
      <w:bookmarkStart w:id="42"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39"/>
      <w:bookmarkEnd w:id="40"/>
      <w:bookmarkEnd w:id="41"/>
      <w:bookmarkEnd w:id="42"/>
    </w:p>
    <w:p w14:paraId="685BE274" w14:textId="2943344B" w:rsidR="007A4A38" w:rsidRPr="003C45CD" w:rsidRDefault="00A61985" w:rsidP="007A4A38">
      <w:bookmarkStart w:id="43" w:name="_Toc500949101"/>
      <w:bookmarkStart w:id="44" w:name="_Toc92875663"/>
      <w:bookmarkStart w:id="45" w:name="_Toc93070687"/>
      <w:r w:rsidRPr="00A61985">
        <w:t xml:space="preserve">This solution mainly addresses an aspect that KI#2 states:" </w:t>
      </w:r>
      <w:r w:rsidRPr="00A61985">
        <w:rPr>
          <w:i/>
          <w:iCs/>
        </w:rPr>
        <w:t>The provisioning/updating of CAG info to [..] the network that the UE has subscription will be considered.</w:t>
      </w:r>
      <w:r w:rsidRPr="00A61985">
        <w:t>"</w:t>
      </w:r>
    </w:p>
    <w:p w14:paraId="385C26FB" w14:textId="039E1632" w:rsidR="001D10A0" w:rsidRPr="001D10A0" w:rsidRDefault="001D10A0" w:rsidP="001D10A0">
      <w:pPr>
        <w:rPr>
          <w:rFonts w:eastAsia="DengXian"/>
          <w:color w:val="auto"/>
          <w:lang w:eastAsia="zh-CN"/>
        </w:rPr>
      </w:pPr>
      <w:r w:rsidRPr="001D10A0">
        <w:rPr>
          <w:rFonts w:eastAsia="DengXian"/>
          <w:color w:val="auto"/>
          <w:lang w:eastAsia="zh-CN"/>
        </w:rPr>
        <w:t>This solution is based on the procedures in clause 4.15.6.2 and clause 4.2.4.2 of TS 23.502. Control to allow only the authorized administrator to access NEF API relies on the CAPIF functionality.</w:t>
      </w:r>
    </w:p>
    <w:p w14:paraId="38C427D3" w14:textId="77777777" w:rsidR="00780BE9" w:rsidRPr="00660C16" w:rsidRDefault="00780BE9" w:rsidP="00780BE9">
      <w:pPr>
        <w:rPr>
          <w:rFonts w:eastAsia="DengXian"/>
        </w:rPr>
      </w:pPr>
      <w:r w:rsidRPr="00660C16">
        <w:rPr>
          <w:rFonts w:eastAsia="DengXian"/>
        </w:rPr>
        <w:lastRenderedPageBreak/>
        <w:t>New addition is as follows:</w:t>
      </w:r>
    </w:p>
    <w:p w14:paraId="5838993A" w14:textId="77777777" w:rsidR="00780BE9" w:rsidRPr="001001F7" w:rsidRDefault="00780BE9" w:rsidP="00780BE9">
      <w:pPr>
        <w:pStyle w:val="B1"/>
        <w:rPr>
          <w:rFonts w:eastAsia="DengXian"/>
        </w:rPr>
      </w:pPr>
      <w:r w:rsidRPr="001001F7">
        <w:rPr>
          <w:rFonts w:eastAsia="DengXian"/>
        </w:rPr>
        <w:t>-</w:t>
      </w:r>
      <w:r w:rsidRPr="001001F7">
        <w:rPr>
          <w:rFonts w:eastAsia="DengXian"/>
        </w:rPr>
        <w:tab/>
        <w:t>cagData needs to be treated as well in the procedure.</w:t>
      </w:r>
    </w:p>
    <w:p w14:paraId="0E5B1C2B" w14:textId="77777777" w:rsidR="00780BE9" w:rsidRPr="00660C16" w:rsidRDefault="00780BE9" w:rsidP="00780BE9">
      <w:pPr>
        <w:pStyle w:val="B1"/>
        <w:rPr>
          <w:rFonts w:eastAsia="DengXian"/>
        </w:rPr>
      </w:pPr>
      <w:r w:rsidRPr="00660C16">
        <w:rPr>
          <w:rFonts w:eastAsia="DengXian"/>
        </w:rPr>
        <w:t>-</w:t>
      </w:r>
      <w:r w:rsidRPr="00660C16">
        <w:rPr>
          <w:rFonts w:eastAsia="DengXian"/>
        </w:rPr>
        <w:tab/>
        <w:t>Solution needs to take care for the following two aspects:</w:t>
      </w:r>
    </w:p>
    <w:p w14:paraId="585445C8" w14:textId="77777777" w:rsidR="00780BE9" w:rsidRDefault="00780BE9" w:rsidP="00780BE9">
      <w:pPr>
        <w:pStyle w:val="B2"/>
        <w:rPr>
          <w:rFonts w:eastAsia="DengXian"/>
        </w:rPr>
      </w:pPr>
      <w:r>
        <w:rPr>
          <w:rFonts w:eastAsia="DengXian"/>
        </w:rPr>
        <w:t>-</w:t>
      </w:r>
      <w:r>
        <w:rPr>
          <w:rFonts w:eastAsia="DengXian"/>
        </w:rPr>
        <w:tab/>
      </w:r>
      <w:r w:rsidRPr="001001F7">
        <w:rPr>
          <w:rFonts w:eastAsia="DengXian"/>
        </w:rPr>
        <w:t>There is a case that the administrator permits a UE to use a CAG and later revokes the permission for the UE. For this case, the administrator needs to know to which UEs the administrator has given permission.</w:t>
      </w:r>
    </w:p>
    <w:p w14:paraId="3405F148" w14:textId="77777777" w:rsidR="00780BE9" w:rsidRPr="00660C16" w:rsidRDefault="00780BE9" w:rsidP="00780BE9">
      <w:pPr>
        <w:pStyle w:val="B2"/>
        <w:rPr>
          <w:rFonts w:eastAsia="DengXian"/>
        </w:rPr>
      </w:pPr>
      <w:r>
        <w:rPr>
          <w:rFonts w:eastAsia="DengXian"/>
        </w:rPr>
        <w:t>-</w:t>
      </w:r>
      <w:r>
        <w:rPr>
          <w:rFonts w:eastAsia="DengXian"/>
        </w:rPr>
        <w:tab/>
      </w:r>
      <w:r w:rsidRPr="00660C16">
        <w:rPr>
          <w:rFonts w:eastAsia="DengXian"/>
        </w:rPr>
        <w:t>It is necessary to avoid a situation where parameters provided by an administrator to UDR mistakenly overwrites parameters provided by the operator and vice versa.</w:t>
      </w:r>
    </w:p>
    <w:p w14:paraId="63063903" w14:textId="77777777" w:rsidR="00780BE9" w:rsidRDefault="00780BE9" w:rsidP="00780BE9">
      <w:pPr>
        <w:pStyle w:val="B1"/>
        <w:rPr>
          <w:rFonts w:eastAsia="DengXian"/>
        </w:rPr>
      </w:pPr>
      <w:r>
        <w:rPr>
          <w:rFonts w:eastAsia="DengXian"/>
        </w:rPr>
        <w:tab/>
      </w:r>
      <w:r w:rsidRPr="00660C16">
        <w:rPr>
          <w:rFonts w:eastAsia="DengXian"/>
        </w:rPr>
        <w:t>To address those two aspects, this solution proposes the following:</w:t>
      </w:r>
    </w:p>
    <w:p w14:paraId="00C60A7A" w14:textId="77777777" w:rsidR="00780BE9" w:rsidRDefault="00780BE9" w:rsidP="00780BE9">
      <w:pPr>
        <w:pStyle w:val="B2"/>
        <w:rPr>
          <w:rFonts w:eastAsia="DengXian"/>
        </w:rPr>
      </w:pPr>
      <w:r w:rsidRPr="001001F7">
        <w:rPr>
          <w:rFonts w:eastAsia="DengXian"/>
        </w:rPr>
        <w:t>-</w:t>
      </w:r>
      <w:r>
        <w:rPr>
          <w:rFonts w:eastAsia="DengXian"/>
        </w:rPr>
        <w:tab/>
        <w:t>U</w:t>
      </w:r>
      <w:r w:rsidRPr="00660C16">
        <w:rPr>
          <w:rFonts w:eastAsia="DengXian"/>
        </w:rPr>
        <w:t>DR reserves a separate area in the UDR for each administrator. This area keeps information on to which UEs the administrator has given permission. This area is called area 1 in the below.</w:t>
      </w:r>
    </w:p>
    <w:p w14:paraId="488C8A64" w14:textId="77777777" w:rsidR="00780BE9" w:rsidRDefault="00780BE9" w:rsidP="00780BE9">
      <w:pPr>
        <w:pStyle w:val="B2"/>
        <w:rPr>
          <w:rFonts w:eastAsia="DengXian"/>
        </w:rPr>
      </w:pPr>
      <w:r>
        <w:rPr>
          <w:rFonts w:eastAsia="DengXian"/>
        </w:rPr>
        <w:t>-</w:t>
      </w:r>
      <w:r>
        <w:rPr>
          <w:rFonts w:eastAsia="DengXian"/>
        </w:rPr>
        <w:tab/>
      </w:r>
      <w:r w:rsidRPr="00660C16">
        <w:rPr>
          <w:rFonts w:eastAsia="DengXian"/>
        </w:rPr>
        <w:t>UDR reserves a separate area in Subscription data of each UE. This area stores the administrator-defined CAG parameter. This area is called area 2 in the below.</w:t>
      </w:r>
    </w:p>
    <w:p w14:paraId="09C49D2F" w14:textId="4FA4041B" w:rsidR="008E006C" w:rsidRPr="00780BE9" w:rsidRDefault="00780BE9" w:rsidP="00780BE9">
      <w:pPr>
        <w:pStyle w:val="B2"/>
        <w:rPr>
          <w:rFonts w:eastAsia="DengXian"/>
        </w:rPr>
      </w:pPr>
      <w:r>
        <w:rPr>
          <w:rFonts w:eastAsia="DengXian"/>
        </w:rPr>
        <w:t>-</w:t>
      </w:r>
      <w:r>
        <w:rPr>
          <w:rFonts w:eastAsia="DengXian"/>
        </w:rPr>
        <w:tab/>
      </w:r>
      <w:r w:rsidRPr="00660C16">
        <w:rPr>
          <w:rFonts w:eastAsia="DengXian"/>
        </w:rPr>
        <w:t>The administrator</w:t>
      </w:r>
      <w:r w:rsidRPr="00454A89">
        <w:rPr>
          <w:rFonts w:eastAsia="DengXian"/>
        </w:rPr>
        <w:t>'</w:t>
      </w:r>
      <w:r w:rsidRPr="00660C16">
        <w:rPr>
          <w:rFonts w:eastAsia="DengXian"/>
        </w:rPr>
        <w:t>s input via NEF is stored in area 1.</w:t>
      </w:r>
      <w:r>
        <w:rPr>
          <w:rFonts w:eastAsia="DengXian"/>
        </w:rPr>
        <w:t xml:space="preserve"> </w:t>
      </w:r>
      <w:r w:rsidRPr="00681E11">
        <w:rPr>
          <w:rFonts w:eastAsia="DengXian"/>
        </w:rPr>
        <w:t>NEF also changes area 2.</w:t>
      </w:r>
      <w:r>
        <w:rPr>
          <w:rFonts w:eastAsia="DengXian"/>
        </w:rPr>
        <w:t xml:space="preserve"> </w:t>
      </w:r>
      <w:r w:rsidRPr="00660C16">
        <w:rPr>
          <w:rFonts w:eastAsia="DengXian"/>
        </w:rPr>
        <w:t>This means the change of UE</w:t>
      </w:r>
      <w:r w:rsidRPr="00454A89">
        <w:rPr>
          <w:rFonts w:eastAsia="DengXian"/>
        </w:rPr>
        <w:t>'</w:t>
      </w:r>
      <w:r w:rsidRPr="00660C16">
        <w:rPr>
          <w:rFonts w:eastAsia="DengXian"/>
        </w:rPr>
        <w:t>s subscription data. AMF receives information in area 2, which is the administrator-defined CAG parameter. AMF is assumed to have received the operator-defined CAG parameter separately already in the Registration procedure. AMF concatenates the administrator-defined CAG parameter and the operator-defined CAG parameter and creates an updated information on Allowed CAG. AMF then provides it to gNB</w:t>
      </w:r>
      <w:r>
        <w:rPr>
          <w:rFonts w:eastAsia="DengXian"/>
        </w:rPr>
        <w:t>,</w:t>
      </w:r>
      <w:r w:rsidRPr="00660C16">
        <w:rPr>
          <w:rFonts w:eastAsia="DengXian"/>
        </w:rPr>
        <w:t xml:space="preserve"> if applicable</w:t>
      </w:r>
      <w:r>
        <w:rPr>
          <w:rFonts w:eastAsia="DengXian"/>
        </w:rPr>
        <w:t>,</w:t>
      </w:r>
      <w:r w:rsidRPr="00660C16">
        <w:rPr>
          <w:rFonts w:eastAsia="DengXian"/>
        </w:rPr>
        <w:t xml:space="preserve"> and to UE.</w:t>
      </w:r>
    </w:p>
    <w:p w14:paraId="5FC50DDA" w14:textId="23BF3FBB" w:rsidR="00B035C1" w:rsidRPr="005467ED" w:rsidRDefault="00B035C1" w:rsidP="00CB2AC4">
      <w:pPr>
        <w:pStyle w:val="3"/>
        <w:rPr>
          <w:lang w:eastAsia="en-GB"/>
        </w:rPr>
      </w:pPr>
      <w:bookmarkStart w:id="46" w:name="_Toc157760689"/>
      <w:r w:rsidRPr="00B035C1">
        <w:rPr>
          <w:lang w:eastAsia="en-GB"/>
        </w:rPr>
        <w:t>6.X.2</w:t>
      </w:r>
      <w:r w:rsidRPr="00B035C1">
        <w:rPr>
          <w:lang w:eastAsia="en-GB"/>
        </w:rPr>
        <w:tab/>
        <w:t>Procedures</w:t>
      </w:r>
      <w:bookmarkStart w:id="47" w:name="_Toc326248711"/>
      <w:bookmarkStart w:id="48" w:name="_Toc510604409"/>
      <w:bookmarkStart w:id="49" w:name="_Toc92875664"/>
      <w:bookmarkStart w:id="50" w:name="_Toc93070688"/>
      <w:bookmarkEnd w:id="43"/>
      <w:bookmarkEnd w:id="44"/>
      <w:bookmarkEnd w:id="45"/>
      <w:bookmarkEnd w:id="46"/>
    </w:p>
    <w:p w14:paraId="28F8CCF1" w14:textId="597CB54C" w:rsidR="002E2C69" w:rsidRPr="005467ED" w:rsidRDefault="00615F87" w:rsidP="00EF5AE7">
      <w:pPr>
        <w:jc w:val="center"/>
        <w:rPr>
          <w:rFonts w:eastAsia="DengXian"/>
          <w:color w:val="auto"/>
          <w:lang w:eastAsia="zh-CN"/>
        </w:rPr>
      </w:pPr>
      <w:r>
        <w:rPr>
          <w:rFonts w:eastAsia="DengXian"/>
          <w:color w:val="auto"/>
          <w:lang w:eastAsia="zh-CN"/>
        </w:rPr>
        <w:object w:dxaOrig="15191" w:dyaOrig="7711" w14:anchorId="35FF6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5pt;height:250.5pt" o:ole="">
            <v:imagedata r:id="rId8" o:title=""/>
          </v:shape>
          <o:OLEObject Type="Embed" ProgID="Visio.Drawing.15" ShapeID="_x0000_i1025" DrawAspect="Content" ObjectID="_1769625857" r:id="rId9"/>
        </w:object>
      </w:r>
    </w:p>
    <w:p w14:paraId="702E2A1A" w14:textId="6E87ED58" w:rsidR="005467ED" w:rsidRPr="00EF5AE7" w:rsidRDefault="005467ED" w:rsidP="00EF5AE7">
      <w:pPr>
        <w:pStyle w:val="TF"/>
        <w:rPr>
          <w:color w:val="auto"/>
          <w:lang w:eastAsia="en-GB"/>
        </w:rPr>
      </w:pPr>
      <w:r w:rsidRPr="00EF5AE7">
        <w:rPr>
          <w:color w:val="auto"/>
          <w:lang w:eastAsia="en-GB"/>
        </w:rPr>
        <w:t>Figure 6.X.2-1:</w:t>
      </w:r>
      <w:r w:rsidR="005273DE">
        <w:rPr>
          <w:color w:val="auto"/>
          <w:lang w:eastAsia="en-GB"/>
        </w:rPr>
        <w:t xml:space="preserve"> </w:t>
      </w:r>
      <w:r w:rsidR="005273DE" w:rsidRPr="005273DE">
        <w:rPr>
          <w:color w:val="auto"/>
          <w:lang w:eastAsia="en-GB"/>
        </w:rPr>
        <w:t>Provisioning of CAG configuration</w:t>
      </w:r>
      <w:r w:rsidR="00B0312D">
        <w:rPr>
          <w:color w:val="auto"/>
          <w:lang w:eastAsia="en-GB"/>
        </w:rPr>
        <w:t xml:space="preserve"> to </w:t>
      </w:r>
      <w:r w:rsidR="005273DE">
        <w:rPr>
          <w:color w:val="auto"/>
          <w:lang w:eastAsia="en-GB"/>
        </w:rPr>
        <w:t>H</w:t>
      </w:r>
      <w:r w:rsidRPr="00EF5AE7">
        <w:rPr>
          <w:color w:val="auto"/>
          <w:lang w:eastAsia="en-GB"/>
        </w:rPr>
        <w:t>PLMN</w:t>
      </w:r>
    </w:p>
    <w:p w14:paraId="7D9BD523" w14:textId="4E26EC0B" w:rsidR="005467ED" w:rsidRPr="006273DB" w:rsidRDefault="006273DB" w:rsidP="006273DB">
      <w:pPr>
        <w:rPr>
          <w:rFonts w:eastAsia="游明朝"/>
        </w:rPr>
      </w:pPr>
      <w:r w:rsidRPr="006273DB">
        <w:rPr>
          <w:rFonts w:eastAsia="游明朝"/>
        </w:rPr>
        <w:t>See the above description for explanation of each step.</w:t>
      </w:r>
    </w:p>
    <w:p w14:paraId="25B14D3F" w14:textId="77777777" w:rsidR="00B035C1" w:rsidRPr="00B035C1" w:rsidRDefault="00B035C1" w:rsidP="00CB2AC4">
      <w:pPr>
        <w:pStyle w:val="3"/>
        <w:rPr>
          <w:lang w:eastAsia="zh-CN"/>
        </w:rPr>
      </w:pPr>
      <w:bookmarkStart w:id="51" w:name="_Toc157760690"/>
      <w:r w:rsidRPr="00B035C1">
        <w:rPr>
          <w:lang w:eastAsia="zh-CN"/>
        </w:rPr>
        <w:t>6.X.3</w:t>
      </w:r>
      <w:r w:rsidRPr="00B035C1">
        <w:rPr>
          <w:lang w:eastAsia="zh-CN"/>
        </w:rPr>
        <w:tab/>
      </w:r>
      <w:bookmarkEnd w:id="47"/>
      <w:bookmarkEnd w:id="48"/>
      <w:bookmarkEnd w:id="49"/>
      <w:r w:rsidRPr="00B035C1">
        <w:rPr>
          <w:lang w:eastAsia="en-GB"/>
        </w:rPr>
        <w:t xml:space="preserve">Impacts on services, </w:t>
      </w:r>
      <w:proofErr w:type="gramStart"/>
      <w:r w:rsidRPr="00B035C1">
        <w:rPr>
          <w:lang w:eastAsia="en-GB"/>
        </w:rPr>
        <w:t>entities</w:t>
      </w:r>
      <w:proofErr w:type="gramEnd"/>
      <w:r w:rsidRPr="00B035C1">
        <w:rPr>
          <w:lang w:eastAsia="en-GB"/>
        </w:rPr>
        <w:t xml:space="preserve"> and interfaces</w:t>
      </w:r>
      <w:bookmarkEnd w:id="50"/>
      <w:bookmarkEnd w:id="51"/>
    </w:p>
    <w:p w14:paraId="4D916765" w14:textId="143AF377" w:rsidR="00591203" w:rsidRDefault="00591203" w:rsidP="009A62BD">
      <w:pPr>
        <w:rPr>
          <w:rFonts w:eastAsia="游明朝"/>
        </w:rPr>
      </w:pPr>
      <w:r w:rsidRPr="00591203">
        <w:rPr>
          <w:rFonts w:eastAsia="游明朝"/>
        </w:rPr>
        <w:t>The solution has the following impacts:</w:t>
      </w:r>
    </w:p>
    <w:p w14:paraId="68E61752" w14:textId="77777777" w:rsidR="00A91E5D" w:rsidRDefault="00A91E5D" w:rsidP="00A91E5D">
      <w:pPr>
        <w:rPr>
          <w:rFonts w:eastAsia="游明朝"/>
        </w:rPr>
      </w:pPr>
      <w:r w:rsidRPr="00A91E5D">
        <w:rPr>
          <w:rFonts w:eastAsia="游明朝"/>
        </w:rPr>
        <w:t>UDM/UDR</w:t>
      </w:r>
      <w:r>
        <w:rPr>
          <w:rFonts w:eastAsia="游明朝"/>
        </w:rPr>
        <w:t>:</w:t>
      </w:r>
    </w:p>
    <w:p w14:paraId="40084BD0" w14:textId="398B4522" w:rsidR="00A91E5D" w:rsidRPr="00A91E5D" w:rsidRDefault="00A91E5D" w:rsidP="00A91E5D">
      <w:pPr>
        <w:ind w:left="568" w:hanging="284"/>
        <w:rPr>
          <w:rFonts w:eastAsia="Times New Roman"/>
          <w:color w:val="auto"/>
          <w:lang w:eastAsia="en-US"/>
        </w:rPr>
      </w:pPr>
      <w:r w:rsidRPr="00A91E5D">
        <w:rPr>
          <w:rFonts w:eastAsia="Times New Roman"/>
          <w:color w:val="auto"/>
          <w:lang w:eastAsia="en-US"/>
        </w:rPr>
        <w:t>-</w:t>
      </w:r>
      <w:r>
        <w:rPr>
          <w:rFonts w:eastAsia="Times New Roman"/>
          <w:color w:val="auto"/>
          <w:lang w:eastAsia="en-US"/>
        </w:rPr>
        <w:tab/>
      </w:r>
      <w:r w:rsidRPr="00A91E5D">
        <w:rPr>
          <w:rFonts w:eastAsia="Times New Roman"/>
          <w:color w:val="auto"/>
          <w:lang w:eastAsia="en-US"/>
        </w:rPr>
        <w:t>to reserve and treat area 1 and area 2 as is explained in the above.</w:t>
      </w:r>
    </w:p>
    <w:p w14:paraId="79E4DD0D" w14:textId="77777777" w:rsidR="00A91E5D" w:rsidRPr="00A91E5D" w:rsidRDefault="00A91E5D" w:rsidP="00A91E5D">
      <w:pPr>
        <w:rPr>
          <w:rFonts w:eastAsia="游明朝"/>
        </w:rPr>
      </w:pPr>
      <w:r w:rsidRPr="00A91E5D">
        <w:rPr>
          <w:rFonts w:eastAsia="游明朝"/>
        </w:rPr>
        <w:t>AMF:</w:t>
      </w:r>
    </w:p>
    <w:p w14:paraId="19512E27" w14:textId="3744FAC2" w:rsidR="00A91E5D" w:rsidRPr="00A91E5D" w:rsidRDefault="00A91E5D" w:rsidP="00A91E5D">
      <w:pPr>
        <w:ind w:left="568" w:hanging="284"/>
        <w:rPr>
          <w:rFonts w:eastAsia="Times New Roman"/>
          <w:color w:val="auto"/>
          <w:lang w:eastAsia="en-US"/>
        </w:rPr>
      </w:pPr>
      <w:r>
        <w:rPr>
          <w:rFonts w:eastAsia="Times New Roman"/>
          <w:color w:val="auto"/>
          <w:lang w:eastAsia="en-US"/>
        </w:rPr>
        <w:lastRenderedPageBreak/>
        <w:t>-</w:t>
      </w:r>
      <w:r>
        <w:rPr>
          <w:rFonts w:eastAsia="Times New Roman"/>
          <w:color w:val="auto"/>
          <w:lang w:eastAsia="en-US"/>
        </w:rPr>
        <w:tab/>
      </w:r>
      <w:r w:rsidRPr="00A91E5D">
        <w:rPr>
          <w:rFonts w:eastAsia="Times New Roman"/>
          <w:color w:val="auto"/>
          <w:lang w:eastAsia="en-US"/>
        </w:rPr>
        <w:t>to create an updated information on Allowed CAG by concatenating the operator-defined CAG parameter and the administrator-defined CAG parameter. to provide it to gNB and UE.</w:t>
      </w:r>
    </w:p>
    <w:p w14:paraId="2737AD94" w14:textId="77777777" w:rsidR="00A91E5D" w:rsidRDefault="00A91E5D" w:rsidP="00A91E5D">
      <w:pPr>
        <w:rPr>
          <w:rFonts w:eastAsia="游明朝"/>
        </w:rPr>
      </w:pPr>
      <w:r w:rsidRPr="00A91E5D">
        <w:rPr>
          <w:rFonts w:eastAsia="游明朝"/>
        </w:rPr>
        <w:t>NEF:</w:t>
      </w:r>
    </w:p>
    <w:p w14:paraId="5177650C" w14:textId="2E36D5B6" w:rsidR="009A62BD" w:rsidRPr="001B3BE5" w:rsidRDefault="00A91E5D" w:rsidP="001B3BE5">
      <w:pPr>
        <w:ind w:left="568" w:hanging="284"/>
        <w:rPr>
          <w:rFonts w:eastAsia="Times New Roman"/>
          <w:color w:val="auto"/>
          <w:lang w:eastAsia="en-US"/>
        </w:rPr>
      </w:pPr>
      <w:r w:rsidRPr="00A91E5D">
        <w:rPr>
          <w:rFonts w:eastAsia="Times New Roman"/>
          <w:color w:val="auto"/>
          <w:lang w:eastAsia="en-US"/>
        </w:rPr>
        <w:t>-</w:t>
      </w:r>
      <w:r w:rsidR="00781383">
        <w:rPr>
          <w:rFonts w:eastAsia="Times New Roman"/>
          <w:color w:val="auto"/>
          <w:lang w:eastAsia="en-US"/>
        </w:rPr>
        <w:tab/>
      </w:r>
      <w:r w:rsidR="007B0B1D">
        <w:rPr>
          <w:rFonts w:eastAsia="Times New Roman"/>
          <w:color w:val="auto"/>
          <w:lang w:eastAsia="en-US"/>
        </w:rPr>
        <w:t xml:space="preserve">to </w:t>
      </w:r>
      <w:r w:rsidRPr="00A91E5D">
        <w:rPr>
          <w:rFonts w:eastAsia="Times New Roman"/>
          <w:color w:val="auto"/>
          <w:lang w:eastAsia="en-US"/>
        </w:rPr>
        <w:t>receive administrator's input and to access administrator's UDM and UE's UDM.</w:t>
      </w:r>
    </w:p>
    <w:p w14:paraId="4D9B319D" w14:textId="0B0E6521" w:rsidR="00B035C1" w:rsidRPr="008D5CFE" w:rsidRDefault="009A62BD" w:rsidP="00720074">
      <w:pPr>
        <w:rPr>
          <w:rFonts w:eastAsia="游明朝"/>
        </w:rPr>
      </w:pPr>
      <w:r w:rsidRPr="009A62BD">
        <w:rPr>
          <w:rFonts w:eastAsia="游明朝"/>
        </w:rPr>
        <w:t>gNB and UE are not impacted.</w:t>
      </w:r>
    </w:p>
    <w:bookmarkEnd w:id="1"/>
    <w:p w14:paraId="6B774B79" w14:textId="77777777" w:rsidR="007825F9" w:rsidRPr="00556CA2"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556CA2">
        <w:rPr>
          <w:rFonts w:ascii="Arial" w:eastAsia="Arial Unicode MS" w:hAnsi="Arial" w:cs="Arial"/>
          <w:color w:val="FF0000"/>
          <w:sz w:val="32"/>
          <w:szCs w:val="48"/>
        </w:rPr>
        <w:t>********** End of Changes</w:t>
      </w:r>
      <w:r w:rsidRPr="00556CA2">
        <w:rPr>
          <w:rFonts w:ascii="Arial" w:eastAsia="Arial Unicode MS" w:hAnsi="Arial" w:cs="Arial"/>
          <w:color w:val="FF0000"/>
          <w:sz w:val="32"/>
          <w:szCs w:val="48"/>
          <w:lang w:eastAsia="zh-CN"/>
        </w:rPr>
        <w:t xml:space="preserve"> </w:t>
      </w:r>
      <w:r w:rsidRPr="00556CA2">
        <w:rPr>
          <w:rFonts w:ascii="Arial" w:eastAsia="Arial Unicode MS" w:hAnsi="Arial" w:cs="Arial"/>
          <w:color w:val="FF0000"/>
          <w:sz w:val="32"/>
          <w:szCs w:val="48"/>
        </w:rPr>
        <w:t>**********</w:t>
      </w:r>
      <w:bookmarkEnd w:id="2"/>
      <w:bookmarkEnd w:id="3"/>
      <w:bookmarkEnd w:id="4"/>
      <w:bookmarkEnd w:id="5"/>
      <w:bookmarkEnd w:id="6"/>
      <w:bookmarkEnd w:id="7"/>
    </w:p>
    <w:sectPr w:rsidR="007825F9" w:rsidRPr="00556CA2"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54E1" w14:textId="77777777" w:rsidR="00CD4F96" w:rsidRDefault="00CD4F96">
      <w:r>
        <w:separator/>
      </w:r>
    </w:p>
    <w:p w14:paraId="0B20FAE8" w14:textId="77777777" w:rsidR="00CD4F96" w:rsidRDefault="00CD4F96"/>
  </w:endnote>
  <w:endnote w:type="continuationSeparator" w:id="0">
    <w:p w14:paraId="233D97FF" w14:textId="77777777" w:rsidR="00CD4F96" w:rsidRDefault="00CD4F96">
      <w:r>
        <w:continuationSeparator/>
      </w:r>
    </w:p>
    <w:p w14:paraId="0CFCDB9F" w14:textId="77777777" w:rsidR="00CD4F96" w:rsidRDefault="00CD4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52" w:name="_Hlk158806653"/>
    <w:bookmarkStart w:id="53" w:name="_Hlk158806654"/>
    <w:bookmarkStart w:id="54" w:name="_Hlk158806657"/>
    <w:bookmarkStart w:id="55" w:name="_Hlk158806658"/>
    <w:bookmarkStart w:id="56" w:name="_Hlk158806671"/>
    <w:bookmarkStart w:id="57"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52"/>
  <w:bookmarkEnd w:id="53"/>
  <w:bookmarkEnd w:id="54"/>
  <w:bookmarkEnd w:id="55"/>
  <w:bookmarkEnd w:id="56"/>
  <w:bookmarkEnd w:id="57"/>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65EC" w14:textId="77777777" w:rsidR="00CD4F96" w:rsidRDefault="00CD4F96">
      <w:r>
        <w:separator/>
      </w:r>
    </w:p>
    <w:p w14:paraId="69470D96" w14:textId="77777777" w:rsidR="00CD4F96" w:rsidRDefault="00CD4F96"/>
  </w:footnote>
  <w:footnote w:type="continuationSeparator" w:id="0">
    <w:p w14:paraId="08C30548" w14:textId="77777777" w:rsidR="00CD4F96" w:rsidRDefault="00CD4F96">
      <w:r>
        <w:continuationSeparator/>
      </w:r>
    </w:p>
    <w:p w14:paraId="3CAE62A3" w14:textId="77777777" w:rsidR="00CD4F96" w:rsidRDefault="00CD4F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999890195">
    <w:abstractNumId w:val="0"/>
  </w:num>
  <w:num w:numId="2" w16cid:durableId="1821462106">
    <w:abstractNumId w:val="1"/>
  </w:num>
  <w:num w:numId="3" w16cid:durableId="194642541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0E4E"/>
    <w:rsid w:val="00091A12"/>
    <w:rsid w:val="00091E1E"/>
    <w:rsid w:val="000920C6"/>
    <w:rsid w:val="00092D9D"/>
    <w:rsid w:val="000960A6"/>
    <w:rsid w:val="00096E2C"/>
    <w:rsid w:val="000A0938"/>
    <w:rsid w:val="000A0C03"/>
    <w:rsid w:val="000A3260"/>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11FA"/>
    <w:rsid w:val="00191344"/>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10A0"/>
    <w:rsid w:val="001D242E"/>
    <w:rsid w:val="001D2833"/>
    <w:rsid w:val="001D2983"/>
    <w:rsid w:val="001D3041"/>
    <w:rsid w:val="001D3294"/>
    <w:rsid w:val="001D342D"/>
    <w:rsid w:val="001D354E"/>
    <w:rsid w:val="001D3CDD"/>
    <w:rsid w:val="001D3DB8"/>
    <w:rsid w:val="001D3E88"/>
    <w:rsid w:val="001D5279"/>
    <w:rsid w:val="001D667A"/>
    <w:rsid w:val="001D68C2"/>
    <w:rsid w:val="001D76E0"/>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6A16"/>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2C69"/>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2FA2"/>
    <w:rsid w:val="0032668E"/>
    <w:rsid w:val="0032729B"/>
    <w:rsid w:val="00327382"/>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C7C"/>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0B0D"/>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94B"/>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2F1F"/>
    <w:rsid w:val="00514929"/>
    <w:rsid w:val="005156B4"/>
    <w:rsid w:val="00515B9F"/>
    <w:rsid w:val="00516189"/>
    <w:rsid w:val="00520266"/>
    <w:rsid w:val="00520775"/>
    <w:rsid w:val="0052196E"/>
    <w:rsid w:val="005249BE"/>
    <w:rsid w:val="00524F9A"/>
    <w:rsid w:val="005273DE"/>
    <w:rsid w:val="005321BB"/>
    <w:rsid w:val="005338E0"/>
    <w:rsid w:val="00535A8D"/>
    <w:rsid w:val="00537A3F"/>
    <w:rsid w:val="00541740"/>
    <w:rsid w:val="00542686"/>
    <w:rsid w:val="00543C0E"/>
    <w:rsid w:val="0054461F"/>
    <w:rsid w:val="00545EA9"/>
    <w:rsid w:val="00546161"/>
    <w:rsid w:val="005467ED"/>
    <w:rsid w:val="00547D69"/>
    <w:rsid w:val="00550081"/>
    <w:rsid w:val="00551E36"/>
    <w:rsid w:val="005530DA"/>
    <w:rsid w:val="00553D36"/>
    <w:rsid w:val="005545BE"/>
    <w:rsid w:val="00554E12"/>
    <w:rsid w:val="00556B59"/>
    <w:rsid w:val="00556CA2"/>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43F"/>
    <w:rsid w:val="00611658"/>
    <w:rsid w:val="00611BC6"/>
    <w:rsid w:val="00612617"/>
    <w:rsid w:val="00612A66"/>
    <w:rsid w:val="00615F87"/>
    <w:rsid w:val="00617B2B"/>
    <w:rsid w:val="00617FAD"/>
    <w:rsid w:val="00620952"/>
    <w:rsid w:val="00620A98"/>
    <w:rsid w:val="00620C73"/>
    <w:rsid w:val="00622421"/>
    <w:rsid w:val="00625D87"/>
    <w:rsid w:val="00626B20"/>
    <w:rsid w:val="00626FA4"/>
    <w:rsid w:val="006273DB"/>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6AF"/>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0BE9"/>
    <w:rsid w:val="00781383"/>
    <w:rsid w:val="00781394"/>
    <w:rsid w:val="00781D2F"/>
    <w:rsid w:val="0078214C"/>
    <w:rsid w:val="00782416"/>
    <w:rsid w:val="007825F9"/>
    <w:rsid w:val="0078481F"/>
    <w:rsid w:val="00786487"/>
    <w:rsid w:val="0078743F"/>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B1D"/>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958"/>
    <w:rsid w:val="00802CB7"/>
    <w:rsid w:val="00804621"/>
    <w:rsid w:val="00805E8A"/>
    <w:rsid w:val="00810947"/>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7A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A6D"/>
    <w:rsid w:val="008B4F02"/>
    <w:rsid w:val="008B56D5"/>
    <w:rsid w:val="008B5C01"/>
    <w:rsid w:val="008B653A"/>
    <w:rsid w:val="008B6BA6"/>
    <w:rsid w:val="008B79D4"/>
    <w:rsid w:val="008B7A85"/>
    <w:rsid w:val="008C00DD"/>
    <w:rsid w:val="008C33BC"/>
    <w:rsid w:val="008C35B9"/>
    <w:rsid w:val="008C471A"/>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D748A"/>
    <w:rsid w:val="008E006C"/>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06DE"/>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1C69"/>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1985"/>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1E5D"/>
    <w:rsid w:val="00A92ACE"/>
    <w:rsid w:val="00A92EAE"/>
    <w:rsid w:val="00A93D75"/>
    <w:rsid w:val="00A96031"/>
    <w:rsid w:val="00A979F0"/>
    <w:rsid w:val="00AA1283"/>
    <w:rsid w:val="00AA5631"/>
    <w:rsid w:val="00AA5977"/>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3FA"/>
    <w:rsid w:val="00B0178E"/>
    <w:rsid w:val="00B02AA5"/>
    <w:rsid w:val="00B0312D"/>
    <w:rsid w:val="00B035C1"/>
    <w:rsid w:val="00B03855"/>
    <w:rsid w:val="00B04A2C"/>
    <w:rsid w:val="00B04B13"/>
    <w:rsid w:val="00B04FD3"/>
    <w:rsid w:val="00B0620A"/>
    <w:rsid w:val="00B06DA9"/>
    <w:rsid w:val="00B11619"/>
    <w:rsid w:val="00B1269E"/>
    <w:rsid w:val="00B1358F"/>
    <w:rsid w:val="00B13836"/>
    <w:rsid w:val="00B138F0"/>
    <w:rsid w:val="00B13AAB"/>
    <w:rsid w:val="00B13D30"/>
    <w:rsid w:val="00B146F7"/>
    <w:rsid w:val="00B14A74"/>
    <w:rsid w:val="00B15FDA"/>
    <w:rsid w:val="00B16D95"/>
    <w:rsid w:val="00B174A6"/>
    <w:rsid w:val="00B17BAA"/>
    <w:rsid w:val="00B21421"/>
    <w:rsid w:val="00B2230B"/>
    <w:rsid w:val="00B2250C"/>
    <w:rsid w:val="00B250A3"/>
    <w:rsid w:val="00B31488"/>
    <w:rsid w:val="00B31B3E"/>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AD"/>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2AC4"/>
    <w:rsid w:val="00CB36A6"/>
    <w:rsid w:val="00CB387A"/>
    <w:rsid w:val="00CB4B2B"/>
    <w:rsid w:val="00CB69C1"/>
    <w:rsid w:val="00CB6A2D"/>
    <w:rsid w:val="00CB7F2C"/>
    <w:rsid w:val="00CC0445"/>
    <w:rsid w:val="00CC10B2"/>
    <w:rsid w:val="00CC2949"/>
    <w:rsid w:val="00CC454D"/>
    <w:rsid w:val="00CC46CE"/>
    <w:rsid w:val="00CC4DC0"/>
    <w:rsid w:val="00CC553E"/>
    <w:rsid w:val="00CC61CF"/>
    <w:rsid w:val="00CD032A"/>
    <w:rsid w:val="00CD05AB"/>
    <w:rsid w:val="00CD2514"/>
    <w:rsid w:val="00CD4913"/>
    <w:rsid w:val="00CD4F96"/>
    <w:rsid w:val="00CD4F9B"/>
    <w:rsid w:val="00CD538B"/>
    <w:rsid w:val="00CD5A70"/>
    <w:rsid w:val="00CD75E2"/>
    <w:rsid w:val="00CD7D5B"/>
    <w:rsid w:val="00CE08FA"/>
    <w:rsid w:val="00CE1C85"/>
    <w:rsid w:val="00CE3A1E"/>
    <w:rsid w:val="00CE4B16"/>
    <w:rsid w:val="00CE4F6D"/>
    <w:rsid w:val="00CE5B97"/>
    <w:rsid w:val="00CE66DD"/>
    <w:rsid w:val="00CE6759"/>
    <w:rsid w:val="00CE70C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FA6"/>
    <w:rsid w:val="00D5158C"/>
    <w:rsid w:val="00D52360"/>
    <w:rsid w:val="00D5281A"/>
    <w:rsid w:val="00D5440A"/>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EA5"/>
    <w:rsid w:val="00F05063"/>
    <w:rsid w:val="00F060E5"/>
    <w:rsid w:val="00F06B4D"/>
    <w:rsid w:val="00F06E69"/>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105"/>
    <w:rsid w:val="00F3535D"/>
    <w:rsid w:val="00F3536F"/>
    <w:rsid w:val="00F35704"/>
    <w:rsid w:val="00F35D9A"/>
    <w:rsid w:val="00F37025"/>
    <w:rsid w:val="00F37CBB"/>
    <w:rsid w:val="00F40C4A"/>
    <w:rsid w:val="00F41661"/>
    <w:rsid w:val="00F41B41"/>
    <w:rsid w:val="00F43A53"/>
    <w:rsid w:val="00F44729"/>
    <w:rsid w:val="00F45493"/>
    <w:rsid w:val="00F46B67"/>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25</Lines>
  <LinksUpToDate>false</LinksUpToDate>
  <Paragraphs>7</Paragraphs>
  <ScaleCrop>false</ScaleCrop>
  <CharactersWithSpaces>3624</CharactersWithSpaces>
  <SharedDoc>false</SharedDoc>
  <HyperlinksChanged>false</HyperlinksChanged>
  <AppVersion>16.0000</AppVersion>
  <Characters>3090</Characters>
  <Pages>3</Pages>
  <DocSecurity>0</DocSecurity>
  <Words>541</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2024-02-16T12:58:00Z</dcterms:modified>
  <dc:title>SA WG2 Temporary Document</dc:title>
  <cp:lastPrinted>2014-09-10T09:04:00Z</cp:lastPrinted>
  <cp:lastModifiedBy>NTT DOCOMO</cp:lastModifiedBy>
  <dcterms:created xsi:type="dcterms:W3CDTF">2023-09-22T07:40:00Z</dcterms:creat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